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AC9" w:rsidRPr="000D5EC9" w:rsidRDefault="00DB2AC9" w:rsidP="00DB2AC9">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Meeting #</w:t>
      </w:r>
      <w:r>
        <w:rPr>
          <w:rFonts w:eastAsia="宋体"/>
          <w:b/>
          <w:noProof/>
          <w:sz w:val="24"/>
          <w:lang w:eastAsia="zh-CN"/>
        </w:rPr>
        <w:t>96-e</w:t>
      </w:r>
      <w:r w:rsidRPr="000D5EC9">
        <w:rPr>
          <w:rFonts w:cs="Arial"/>
          <w:b/>
          <w:noProof/>
          <w:sz w:val="24"/>
          <w:szCs w:val="24"/>
        </w:rPr>
        <w:tab/>
      </w:r>
      <w:r>
        <w:rPr>
          <w:rFonts w:cs="Arial"/>
          <w:b/>
          <w:noProof/>
          <w:sz w:val="24"/>
          <w:szCs w:val="24"/>
        </w:rPr>
        <w:t xml:space="preserve">                                 </w:t>
      </w:r>
      <w:r>
        <w:rPr>
          <w:rFonts w:eastAsia="宋体" w:cs="Arial" w:hint="eastAsia"/>
          <w:b/>
          <w:noProof/>
          <w:sz w:val="24"/>
          <w:szCs w:val="24"/>
          <w:lang w:eastAsia="zh-CN"/>
        </w:rPr>
        <w:t>R4-</w:t>
      </w:r>
      <w:r>
        <w:rPr>
          <w:rFonts w:eastAsia="宋体" w:cs="Arial"/>
          <w:b/>
          <w:noProof/>
          <w:sz w:val="24"/>
          <w:szCs w:val="24"/>
          <w:lang w:eastAsia="zh-CN"/>
        </w:rPr>
        <w:t>20</w:t>
      </w:r>
      <w:r w:rsidR="00F51CE6">
        <w:rPr>
          <w:rFonts w:eastAsia="宋体" w:cs="Arial"/>
          <w:b/>
          <w:noProof/>
          <w:sz w:val="24"/>
          <w:szCs w:val="24"/>
          <w:lang w:eastAsia="zh-CN"/>
        </w:rPr>
        <w:t>10606</w:t>
      </w:r>
      <w:bookmarkStart w:id="1" w:name="_GoBack"/>
      <w:bookmarkEnd w:id="1"/>
      <w:r>
        <w:rPr>
          <w:rFonts w:eastAsia="宋体" w:cs="Arial"/>
          <w:b/>
          <w:noProof/>
          <w:sz w:val="24"/>
          <w:szCs w:val="24"/>
          <w:lang w:eastAsia="zh-CN"/>
        </w:rPr>
        <w:t xml:space="preserve"> </w:t>
      </w:r>
    </w:p>
    <w:p w:rsidR="00DB2AC9" w:rsidRPr="00992D9C" w:rsidRDefault="00323263" w:rsidP="00992D9C">
      <w:pPr>
        <w:pStyle w:val="CRCoverPage"/>
        <w:outlineLvl w:val="0"/>
        <w:rPr>
          <w:rFonts w:eastAsia="宋体"/>
          <w:b/>
          <w:i/>
          <w:sz w:val="24"/>
          <w:lang w:eastAsia="zh-CN"/>
        </w:rPr>
      </w:pPr>
      <w:r w:rsidRPr="00BF1228">
        <w:rPr>
          <w:rFonts w:eastAsia="宋体"/>
          <w:b/>
          <w:sz w:val="24"/>
          <w:szCs w:val="24"/>
          <w:lang w:eastAsia="zh-CN"/>
        </w:rPr>
        <w:t>Electronic Meeting, 17-28 Aug., 202</w:t>
      </w:r>
      <w:r>
        <w:rPr>
          <w:rFonts w:eastAsia="宋体"/>
          <w:b/>
          <w:sz w:val="24"/>
          <w:szCs w:val="24"/>
          <w:lang w:eastAsia="zh-CN"/>
        </w:rPr>
        <w:t>0</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Pr>
          <w:rFonts w:ascii="Arial" w:hAnsi="Arial"/>
          <w:sz w:val="24"/>
          <w:lang w:val="en-US"/>
        </w:rPr>
        <w:t xml:space="preserve"> remaining issue for </w:t>
      </w:r>
      <w:r w:rsidR="002C2022" w:rsidRPr="002C2022">
        <w:rPr>
          <w:rFonts w:ascii="Arial" w:hAnsi="Arial"/>
          <w:sz w:val="24"/>
          <w:lang w:val="en-US"/>
        </w:rPr>
        <w:t>UE operations for licensed bands partially used for SL transmission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323263">
        <w:rPr>
          <w:rFonts w:ascii="Arial" w:hAnsi="Arial"/>
          <w:sz w:val="24"/>
          <w:lang w:val="pt-BR"/>
        </w:rPr>
        <w:t>7.3.</w:t>
      </w:r>
      <w:r w:rsidR="00A24FEA">
        <w:rPr>
          <w:rFonts w:ascii="Arial" w:hAnsi="Arial"/>
          <w:sz w:val="24"/>
          <w:lang w:val="pt-BR"/>
        </w:rPr>
        <w:t>2</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 xml:space="preserve">uring the RAN4#95-e meeting, </w:t>
      </w:r>
      <w:r w:rsidR="00A24FEA">
        <w:rPr>
          <w:lang w:val="en-US" w:eastAsia="zh-CN"/>
        </w:rPr>
        <w:t>the topic that licensed bands partially used for SL transmission has been discussed</w:t>
      </w:r>
      <w:r>
        <w:rPr>
          <w:lang w:val="en-US" w:eastAsia="zh-CN"/>
        </w:rPr>
        <w:t>.</w:t>
      </w:r>
      <w:r w:rsidR="00A24FEA">
        <w:rPr>
          <w:lang w:val="en-US" w:eastAsia="zh-CN"/>
        </w:rPr>
        <w:t xml:space="preserve"> Considering the timeline of Rel-16 completion, some release specific WF has been proposed. In this paper, we try to analyze detail and give some suggestions on this topic.</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E9533D" w:rsidRDefault="00E9533D" w:rsidP="00F93B56">
      <w:pPr>
        <w:rPr>
          <w:lang w:val="en-US" w:eastAsia="zh-CN"/>
        </w:rPr>
      </w:pPr>
      <w:r>
        <w:rPr>
          <w:rFonts w:hint="eastAsia"/>
          <w:lang w:val="en-US" w:eastAsia="zh-CN"/>
        </w:rPr>
        <w:t>Based</w:t>
      </w:r>
      <w:r>
        <w:rPr>
          <w:lang w:val="en-US" w:eastAsia="zh-CN"/>
        </w:rPr>
        <w:t xml:space="preserve"> on the WF</w:t>
      </w:r>
      <w:r w:rsidR="00594B57">
        <w:rPr>
          <w:lang w:val="en-US" w:eastAsia="zh-CN"/>
        </w:rPr>
        <w:t xml:space="preserve"> </w:t>
      </w:r>
      <w:r>
        <w:rPr>
          <w:lang w:val="en-US" w:eastAsia="zh-CN"/>
        </w:rPr>
        <w:t>[1] the remaining issue for licensed bands partially used for SL transmission, the open issue are concluded in slide 2 “Background” as shown below:</w:t>
      </w:r>
    </w:p>
    <w:p w:rsidR="00E9533D" w:rsidRDefault="00E9533D" w:rsidP="00E9533D">
      <w:pPr>
        <w:jc w:val="center"/>
        <w:rPr>
          <w:lang w:val="en-US" w:eastAsia="zh-CN"/>
        </w:rPr>
      </w:pPr>
      <w:r>
        <w:rPr>
          <w:noProof/>
          <w:lang w:val="en-US" w:eastAsia="zh-CN"/>
        </w:rPr>
        <w:drawing>
          <wp:inline distT="0" distB="0" distL="0" distR="0" wp14:anchorId="3A01A7FA" wp14:editId="020676CA">
            <wp:extent cx="4474432" cy="933616"/>
            <wp:effectExtent l="19050" t="19050" r="21590"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89306" cy="936720"/>
                    </a:xfrm>
                    <a:prstGeom prst="rect">
                      <a:avLst/>
                    </a:prstGeom>
                    <a:ln>
                      <a:solidFill>
                        <a:schemeClr val="tx1"/>
                      </a:solidFill>
                    </a:ln>
                  </pic:spPr>
                </pic:pic>
              </a:graphicData>
            </a:graphic>
          </wp:inline>
        </w:drawing>
      </w:r>
    </w:p>
    <w:p w:rsidR="00E9533D" w:rsidRDefault="00E9533D" w:rsidP="00F93B56">
      <w:pPr>
        <w:rPr>
          <w:lang w:val="en-US" w:eastAsia="zh-CN"/>
        </w:rPr>
      </w:pPr>
      <w:r>
        <w:rPr>
          <w:lang w:val="en-US" w:eastAsia="zh-CN"/>
        </w:rPr>
        <w:t>For the first open issue, the UE operation can be discussed in detail as following:</w:t>
      </w:r>
    </w:p>
    <w:p w:rsidR="00F93B56" w:rsidRDefault="00D03608" w:rsidP="00F93B56">
      <w:pPr>
        <w:rPr>
          <w:lang w:val="en-US" w:eastAsia="zh-CN"/>
        </w:rPr>
      </w:pPr>
      <w:r>
        <w:rPr>
          <w:rFonts w:hint="eastAsia"/>
          <w:lang w:val="en-US" w:eastAsia="zh-CN"/>
        </w:rPr>
        <w:t>A</w:t>
      </w:r>
      <w:r>
        <w:rPr>
          <w:lang w:val="en-US" w:eastAsia="zh-CN"/>
        </w:rPr>
        <w:t xml:space="preserve">ccording to the synchronization scenario discussion, it seems that the mechanism for synchronization scenario is V-UE can only receive DL in DL slots without SL operation. </w:t>
      </w:r>
      <w:r>
        <w:rPr>
          <w:rFonts w:hint="eastAsia"/>
          <w:lang w:val="en-US" w:eastAsia="zh-CN"/>
        </w:rPr>
        <w:t>With</w:t>
      </w:r>
      <w:r>
        <w:rPr>
          <w:lang w:val="en-US" w:eastAsia="zh-CN"/>
        </w:rPr>
        <w:t xml:space="preserve"> this </w:t>
      </w:r>
      <w:r>
        <w:rPr>
          <w:rFonts w:hint="eastAsia"/>
          <w:lang w:val="en-US" w:eastAsia="zh-CN"/>
        </w:rPr>
        <w:t>t</w:t>
      </w:r>
      <w:r>
        <w:rPr>
          <w:lang w:val="en-US" w:eastAsia="zh-CN"/>
        </w:rPr>
        <w:t xml:space="preserve">he </w:t>
      </w:r>
      <w:r w:rsidR="00E9533D">
        <w:rPr>
          <w:lang w:val="en-US" w:eastAsia="zh-CN"/>
        </w:rPr>
        <w:t xml:space="preserve">licensed band operation </w:t>
      </w:r>
      <w:r>
        <w:rPr>
          <w:lang w:val="en-US" w:eastAsia="zh-CN"/>
        </w:rPr>
        <w:t>scenario can be discussed in detail scenarios as shown below:</w:t>
      </w:r>
    </w:p>
    <w:p w:rsidR="00D03608" w:rsidRDefault="00D03608" w:rsidP="00F93B56">
      <w:pPr>
        <w:rPr>
          <w:lang w:val="en-US" w:eastAsia="zh-CN"/>
        </w:rPr>
      </w:pPr>
      <w:r>
        <w:rPr>
          <w:lang w:val="en-US" w:eastAsia="zh-CN"/>
        </w:rPr>
        <w:t xml:space="preserve">1, Uu and SL on different carriers, UL and SL are </w:t>
      </w:r>
      <w:r w:rsidR="00CE6AC7">
        <w:rPr>
          <w:lang w:val="en-US" w:eastAsia="zh-CN"/>
        </w:rPr>
        <w:t>F</w:t>
      </w:r>
      <w:r>
        <w:rPr>
          <w:lang w:val="en-US" w:eastAsia="zh-CN"/>
        </w:rPr>
        <w:t>DMed.</w:t>
      </w:r>
    </w:p>
    <w:p w:rsidR="00D03608" w:rsidRDefault="00D03608" w:rsidP="00F93B56">
      <w:pPr>
        <w:rPr>
          <w:lang w:val="en-US" w:eastAsia="zh-CN"/>
        </w:rPr>
      </w:pPr>
      <w:r>
        <w:rPr>
          <w:lang w:val="en-US" w:eastAsia="zh-CN"/>
        </w:rPr>
        <w:t xml:space="preserve">2, Uu and SL on different carriers, UL and SL are </w:t>
      </w:r>
      <w:r w:rsidR="00CE6AC7">
        <w:rPr>
          <w:lang w:val="en-US" w:eastAsia="zh-CN"/>
        </w:rPr>
        <w:t>T</w:t>
      </w:r>
      <w:r>
        <w:rPr>
          <w:lang w:val="en-US" w:eastAsia="zh-CN"/>
        </w:rPr>
        <w:t>DMed</w:t>
      </w:r>
    </w:p>
    <w:p w:rsidR="00D03608" w:rsidRDefault="00D03608" w:rsidP="00F93B56">
      <w:pPr>
        <w:rPr>
          <w:lang w:val="en-US" w:eastAsia="zh-CN"/>
        </w:rPr>
      </w:pPr>
      <w:r>
        <w:rPr>
          <w:lang w:val="en-US" w:eastAsia="zh-CN"/>
        </w:rPr>
        <w:t xml:space="preserve">3, Uu and SL on single/shared carrier, UL and SL are </w:t>
      </w:r>
      <w:r w:rsidR="00CE6AC7">
        <w:rPr>
          <w:lang w:val="en-US" w:eastAsia="zh-CN"/>
        </w:rPr>
        <w:t>F</w:t>
      </w:r>
      <w:r>
        <w:rPr>
          <w:lang w:val="en-US" w:eastAsia="zh-CN"/>
        </w:rPr>
        <w:t>DMed</w:t>
      </w:r>
    </w:p>
    <w:p w:rsidR="00D03608" w:rsidRDefault="00D03608" w:rsidP="00F93B56">
      <w:pPr>
        <w:rPr>
          <w:lang w:val="en-US" w:eastAsia="zh-CN"/>
        </w:rPr>
      </w:pPr>
      <w:r>
        <w:rPr>
          <w:lang w:val="en-US" w:eastAsia="zh-CN"/>
        </w:rPr>
        <w:t xml:space="preserve">4, Uu and SL on single/shared carrier, UL and SL are </w:t>
      </w:r>
      <w:r w:rsidR="00CE6AC7">
        <w:rPr>
          <w:lang w:val="en-US" w:eastAsia="zh-CN"/>
        </w:rPr>
        <w:t>T</w:t>
      </w:r>
      <w:r>
        <w:rPr>
          <w:lang w:val="en-US" w:eastAsia="zh-CN"/>
        </w:rPr>
        <w:t>DMed</w:t>
      </w:r>
    </w:p>
    <w:p w:rsidR="00E9533D" w:rsidRDefault="00D03608" w:rsidP="00F93B56">
      <w:pPr>
        <w:rPr>
          <w:lang w:val="en-US" w:eastAsia="zh-CN"/>
        </w:rPr>
      </w:pPr>
      <w:r>
        <w:rPr>
          <w:lang w:val="en-US" w:eastAsia="zh-CN"/>
        </w:rPr>
        <w:t xml:space="preserve">Scenario </w:t>
      </w:r>
      <w:r w:rsidR="00CE6AC7">
        <w:rPr>
          <w:lang w:val="en-US" w:eastAsia="zh-CN"/>
        </w:rPr>
        <w:t>1</w:t>
      </w:r>
      <w:r>
        <w:rPr>
          <w:lang w:val="en-US" w:eastAsia="zh-CN"/>
        </w:rPr>
        <w:t xml:space="preserve"> i</w:t>
      </w:r>
      <w:r w:rsidR="00773B7D">
        <w:rPr>
          <w:lang w:val="en-US" w:eastAsia="zh-CN"/>
        </w:rPr>
        <w:t>s</w:t>
      </w:r>
      <w:r>
        <w:rPr>
          <w:lang w:val="en-US" w:eastAsia="zh-CN"/>
        </w:rPr>
        <w:t xml:space="preserve"> similar to the intra-bnad non-contiguous CA case</w:t>
      </w:r>
      <w:r w:rsidR="00773B7D">
        <w:rPr>
          <w:lang w:val="en-US" w:eastAsia="zh-CN"/>
        </w:rPr>
        <w:t xml:space="preserve"> from carrier construction perspective</w:t>
      </w:r>
      <w:r>
        <w:rPr>
          <w:lang w:val="en-US" w:eastAsia="zh-CN"/>
        </w:rPr>
        <w:t xml:space="preserve">. </w:t>
      </w:r>
      <w:r w:rsidR="00E9533D">
        <w:rPr>
          <w:lang w:val="en-US" w:eastAsia="zh-CN"/>
        </w:rPr>
        <w:t xml:space="preserve">The interference will occur at BS RX with aggressor of UE#1 SL TX and at UE#2 SL RX with UE#1 UL TX which has been shown below in figure 1. </w:t>
      </w:r>
    </w:p>
    <w:p w:rsidR="00E9533D" w:rsidRDefault="001E0BF5" w:rsidP="008006DE">
      <w:pPr>
        <w:jc w:val="center"/>
        <w:rPr>
          <w:lang w:val="en-US" w:eastAsia="zh-CN"/>
        </w:rPr>
      </w:pPr>
      <w:r>
        <w:rPr>
          <w:noProof/>
          <w:lang w:val="en-US" w:eastAsia="zh-CN"/>
        </w:rPr>
        <w:drawing>
          <wp:inline distT="0" distB="0" distL="0" distR="0" wp14:anchorId="27994499" wp14:editId="74E04A5F">
            <wp:extent cx="1757238" cy="2029546"/>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70099" cy="2044400"/>
                    </a:xfrm>
                    <a:prstGeom prst="rect">
                      <a:avLst/>
                    </a:prstGeom>
                  </pic:spPr>
                </pic:pic>
              </a:graphicData>
            </a:graphic>
          </wp:inline>
        </w:drawing>
      </w:r>
    </w:p>
    <w:p w:rsidR="00E9533D" w:rsidRDefault="00E9533D" w:rsidP="00E9533D">
      <w:pPr>
        <w:jc w:val="center"/>
        <w:rPr>
          <w:lang w:val="en-US" w:eastAsia="zh-CN"/>
        </w:rPr>
      </w:pPr>
      <w:r>
        <w:rPr>
          <w:lang w:val="en-US" w:eastAsia="zh-CN"/>
        </w:rPr>
        <w:t>Figure 1 Co-existence interference scenario</w:t>
      </w:r>
    </w:p>
    <w:p w:rsidR="00D03608" w:rsidRDefault="00773B7D" w:rsidP="00F93B56">
      <w:pPr>
        <w:rPr>
          <w:lang w:val="en-US" w:eastAsia="zh-CN"/>
        </w:rPr>
      </w:pPr>
      <w:r>
        <w:rPr>
          <w:lang w:val="en-US" w:eastAsia="zh-CN"/>
        </w:rPr>
        <w:t>This is the simulation case 5 and case 6 co-existence in the TR 38.886</w:t>
      </w:r>
      <w:r w:rsidR="00594B57">
        <w:rPr>
          <w:lang w:val="en-US" w:eastAsia="zh-CN"/>
        </w:rPr>
        <w:t>[2]</w:t>
      </w:r>
      <w:r>
        <w:rPr>
          <w:lang w:val="en-US" w:eastAsia="zh-CN"/>
        </w:rPr>
        <w:t xml:space="preserve"> subclause 5. Specifically, the conclusion are as below:</w:t>
      </w:r>
    </w:p>
    <w:p w:rsidR="00773B7D" w:rsidRDefault="00773B7D" w:rsidP="00773B7D">
      <w:pPr>
        <w:jc w:val="center"/>
        <w:rPr>
          <w:lang w:val="en-US" w:eastAsia="zh-CN"/>
        </w:rPr>
      </w:pPr>
      <w:r>
        <w:rPr>
          <w:noProof/>
          <w:lang w:val="en-US" w:eastAsia="zh-CN"/>
        </w:rPr>
        <w:lastRenderedPageBreak/>
        <w:drawing>
          <wp:inline distT="0" distB="0" distL="0" distR="0" wp14:anchorId="59F55AB3" wp14:editId="127E8BAC">
            <wp:extent cx="5748794" cy="1467543"/>
            <wp:effectExtent l="19050" t="19050" r="2349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1952" cy="1493877"/>
                    </a:xfrm>
                    <a:prstGeom prst="rect">
                      <a:avLst/>
                    </a:prstGeom>
                    <a:ln>
                      <a:solidFill>
                        <a:schemeClr val="tx1"/>
                      </a:solidFill>
                    </a:ln>
                  </pic:spPr>
                </pic:pic>
              </a:graphicData>
            </a:graphic>
          </wp:inline>
        </w:drawing>
      </w:r>
    </w:p>
    <w:p w:rsidR="00773B7D" w:rsidRDefault="00CE6AC7" w:rsidP="00F93B56">
      <w:pPr>
        <w:rPr>
          <w:lang w:val="en-US" w:eastAsia="zh-CN"/>
        </w:rPr>
      </w:pPr>
      <w:r>
        <w:rPr>
          <w:rFonts w:hint="eastAsia"/>
          <w:lang w:val="en-US" w:eastAsia="zh-CN"/>
        </w:rPr>
        <w:t>H</w:t>
      </w:r>
      <w:r>
        <w:rPr>
          <w:lang w:val="en-US" w:eastAsia="zh-CN"/>
        </w:rPr>
        <w:t>ence how to introduce this scenario with balancing the NR BS and V2X RX UE performance still need further study in RAN4. So introducing scenario 1</w:t>
      </w:r>
      <w:r w:rsidR="008006DE">
        <w:rPr>
          <w:lang w:val="en-US" w:eastAsia="zh-CN"/>
        </w:rPr>
        <w:t xml:space="preserve"> </w:t>
      </w:r>
      <w:r>
        <w:rPr>
          <w:lang w:val="en-US" w:eastAsia="zh-CN"/>
        </w:rPr>
        <w:t>is premature at this stage.</w:t>
      </w:r>
    </w:p>
    <w:p w:rsidR="00CE6AC7" w:rsidRPr="00CE6AC7" w:rsidRDefault="00CE6AC7" w:rsidP="00F93B56">
      <w:pPr>
        <w:rPr>
          <w:b/>
          <w:lang w:val="en-US" w:eastAsia="zh-CN"/>
        </w:rPr>
      </w:pPr>
      <w:r w:rsidRPr="00CE6AC7">
        <w:rPr>
          <w:b/>
          <w:lang w:val="en-US" w:eastAsia="zh-CN"/>
        </w:rPr>
        <w:t xml:space="preserve">Observation 1: Introducing scenario 1 </w:t>
      </w:r>
      <w:r w:rsidR="00594B57">
        <w:rPr>
          <w:b/>
          <w:lang w:val="en-US" w:eastAsia="zh-CN"/>
        </w:rPr>
        <w:t xml:space="preserve">as intra-band concurrent operation </w:t>
      </w:r>
      <w:r w:rsidRPr="00CE6AC7">
        <w:rPr>
          <w:b/>
          <w:lang w:val="en-US" w:eastAsia="zh-CN"/>
        </w:rPr>
        <w:t>is premature at this stage</w:t>
      </w:r>
    </w:p>
    <w:p w:rsidR="00CE6AC7" w:rsidRDefault="00CE6AC7" w:rsidP="00F93B56">
      <w:pPr>
        <w:rPr>
          <w:lang w:val="en-US" w:eastAsia="zh-CN"/>
        </w:rPr>
      </w:pPr>
      <w:r>
        <w:rPr>
          <w:rFonts w:hint="eastAsia"/>
          <w:lang w:val="en-US" w:eastAsia="zh-CN"/>
        </w:rPr>
        <w:t>S</w:t>
      </w:r>
      <w:r>
        <w:rPr>
          <w:lang w:val="en-US" w:eastAsia="zh-CN"/>
        </w:rPr>
        <w:t>imilarly, scenario 3 is specific case for scenario 1 with even less frequency separation. Hence it is not considered in this stag too.</w:t>
      </w:r>
    </w:p>
    <w:p w:rsidR="00CE6AC7" w:rsidRDefault="00CE6AC7" w:rsidP="00F93B56">
      <w:pPr>
        <w:rPr>
          <w:b/>
          <w:lang w:val="en-US" w:eastAsia="zh-CN"/>
        </w:rPr>
      </w:pPr>
      <w:r w:rsidRPr="00CE6AC7">
        <w:rPr>
          <w:b/>
          <w:lang w:val="en-US" w:eastAsia="zh-CN"/>
        </w:rPr>
        <w:t xml:space="preserve">Observation </w:t>
      </w:r>
      <w:r w:rsidRPr="00CE6AC7">
        <w:rPr>
          <w:rFonts w:hint="eastAsia"/>
          <w:b/>
          <w:lang w:val="en-US" w:eastAsia="zh-CN"/>
        </w:rPr>
        <w:t>2</w:t>
      </w:r>
      <w:r w:rsidRPr="00CE6AC7">
        <w:rPr>
          <w:rFonts w:hint="eastAsia"/>
          <w:b/>
          <w:lang w:val="en-US" w:eastAsia="zh-CN"/>
        </w:rPr>
        <w:t>：</w:t>
      </w:r>
      <w:r w:rsidRPr="00CE6AC7">
        <w:rPr>
          <w:b/>
          <w:lang w:val="en-US" w:eastAsia="zh-CN"/>
        </w:rPr>
        <w:t>Scenario 3 is similar to scenario 1 and it is not considered too.</w:t>
      </w:r>
    </w:p>
    <w:p w:rsidR="00CE6AC7" w:rsidRDefault="00CE6AC7" w:rsidP="00F93B56">
      <w:pPr>
        <w:rPr>
          <w:lang w:val="en-US" w:eastAsia="zh-CN"/>
        </w:rPr>
      </w:pPr>
      <w:r>
        <w:rPr>
          <w:lang w:val="en-US" w:eastAsia="zh-CN"/>
        </w:rPr>
        <w:t>Then we come to scenario 2 and 4. This is the case that is possible at this stage and the synchronization is needed.</w:t>
      </w:r>
    </w:p>
    <w:p w:rsidR="00E9533D" w:rsidRDefault="00CE6AC7" w:rsidP="00F93B56">
      <w:pPr>
        <w:rPr>
          <w:lang w:val="en-US" w:eastAsia="zh-CN"/>
        </w:rPr>
      </w:pPr>
      <w:r>
        <w:rPr>
          <w:lang w:val="en-US" w:eastAsia="zh-CN"/>
        </w:rPr>
        <w:t>As state</w:t>
      </w:r>
      <w:r w:rsidR="002C2022">
        <w:rPr>
          <w:lang w:val="en-US" w:eastAsia="zh-CN"/>
        </w:rPr>
        <w:t>d</w:t>
      </w:r>
      <w:r>
        <w:rPr>
          <w:lang w:val="en-US" w:eastAsia="zh-CN"/>
        </w:rPr>
        <w:t xml:space="preserve"> at the beginning, the UE can only receive DL at DL slot without SL operation, then the SL TX and SL RX will both occur at the UL slots.</w:t>
      </w:r>
      <w:r w:rsidR="00E9533D">
        <w:rPr>
          <w:lang w:val="en-US" w:eastAsia="zh-CN"/>
        </w:rPr>
        <w:t xml:space="preserve"> In this case, the SL slot need to be strictly aligned to UL slot timing and the Network will need to schedule only SL operation at this slot.</w:t>
      </w:r>
    </w:p>
    <w:p w:rsidR="002C2022" w:rsidRDefault="00E9533D" w:rsidP="00F93B56">
      <w:pPr>
        <w:rPr>
          <w:lang w:val="en-US" w:eastAsia="zh-CN"/>
        </w:rPr>
      </w:pPr>
      <w:r>
        <w:rPr>
          <w:lang w:val="en-US" w:eastAsia="zh-CN"/>
        </w:rPr>
        <w:t>For RF core requir</w:t>
      </w:r>
      <w:r w:rsidR="008006DE">
        <w:rPr>
          <w:lang w:val="en-US" w:eastAsia="zh-CN"/>
        </w:rPr>
        <w:t>ement perspective, the general UE requirement apply for UL slot that is scheduled for UE UL and the V2X requirement apply for UL slot that is scheduled for SL operation.</w:t>
      </w:r>
      <w:r w:rsidR="001E0BF5">
        <w:rPr>
          <w:lang w:val="en-US" w:eastAsia="zh-CN"/>
        </w:rPr>
        <w:t xml:space="preserve"> </w:t>
      </w:r>
      <w:r w:rsidR="002C2022">
        <w:rPr>
          <w:lang w:val="en-US" w:eastAsia="zh-CN"/>
        </w:rPr>
        <w:t xml:space="preserve">The TDM intra-band con-current operation is possible to be introduced at this stage since the requirements are already defined. </w:t>
      </w:r>
    </w:p>
    <w:p w:rsidR="008006DE" w:rsidRDefault="008006DE" w:rsidP="00F93B56">
      <w:pPr>
        <w:rPr>
          <w:b/>
          <w:lang w:val="en-US" w:eastAsia="zh-CN"/>
        </w:rPr>
      </w:pPr>
      <w:r w:rsidRPr="008006DE">
        <w:rPr>
          <w:b/>
          <w:lang w:val="en-US" w:eastAsia="zh-CN"/>
        </w:rPr>
        <w:t xml:space="preserve">Observation </w:t>
      </w:r>
      <w:r w:rsidR="00594B57">
        <w:rPr>
          <w:b/>
          <w:lang w:val="en-US" w:eastAsia="zh-CN"/>
        </w:rPr>
        <w:t>3</w:t>
      </w:r>
      <w:r>
        <w:rPr>
          <w:b/>
          <w:lang w:val="en-US" w:eastAsia="zh-CN"/>
        </w:rPr>
        <w:t xml:space="preserve">: General and V2X RF core requirement apply respectively for UL TX slots and SL operation slots </w:t>
      </w:r>
      <w:r w:rsidR="001E0BF5">
        <w:rPr>
          <w:b/>
          <w:lang w:val="en-US" w:eastAsia="zh-CN"/>
        </w:rPr>
        <w:t xml:space="preserve">in </w:t>
      </w:r>
      <w:r w:rsidR="002C2022">
        <w:rPr>
          <w:b/>
          <w:lang w:val="en-US" w:eastAsia="zh-CN"/>
        </w:rPr>
        <w:t>case TDM intra-band concurrent operation.</w:t>
      </w:r>
    </w:p>
    <w:p w:rsidR="002C2022" w:rsidRPr="002C2022" w:rsidRDefault="002C2022" w:rsidP="00F93B56">
      <w:pPr>
        <w:rPr>
          <w:b/>
          <w:lang w:val="en-US" w:eastAsia="zh-CN"/>
        </w:rPr>
      </w:pPr>
      <w:r w:rsidRPr="002C2022">
        <w:rPr>
          <w:rFonts w:hint="eastAsia"/>
          <w:b/>
          <w:lang w:val="en-US" w:eastAsia="zh-CN"/>
        </w:rPr>
        <w:t>O</w:t>
      </w:r>
      <w:r w:rsidRPr="002C2022">
        <w:rPr>
          <w:b/>
          <w:lang w:val="en-US" w:eastAsia="zh-CN"/>
        </w:rPr>
        <w:t xml:space="preserve">bservation </w:t>
      </w:r>
      <w:r w:rsidR="00594B57">
        <w:rPr>
          <w:b/>
          <w:lang w:val="en-US" w:eastAsia="zh-CN"/>
        </w:rPr>
        <w:t>4</w:t>
      </w:r>
      <w:r w:rsidRPr="002C2022">
        <w:rPr>
          <w:b/>
          <w:lang w:val="en-US" w:eastAsia="zh-CN"/>
        </w:rPr>
        <w:t xml:space="preserve">: TDM intra-band concurrent operation can be introduced </w:t>
      </w:r>
      <w:r>
        <w:rPr>
          <w:b/>
          <w:lang w:val="en-US" w:eastAsia="zh-CN"/>
        </w:rPr>
        <w:t>in Rel-16.</w:t>
      </w:r>
    </w:p>
    <w:p w:rsidR="008006DE" w:rsidRDefault="002C2022" w:rsidP="00F93B56">
      <w:pPr>
        <w:rPr>
          <w:lang w:val="en-US" w:eastAsia="zh-CN"/>
        </w:rPr>
      </w:pPr>
      <w:r>
        <w:rPr>
          <w:lang w:val="en-US" w:eastAsia="zh-CN"/>
        </w:rPr>
        <w:t>In conclusion, the FDM intra-band concurrent operation need more co-existence study for frequency separation and it is better to leave to Rel-17 to further study. For TDM intra-band concurrent operation, we think it can be introduced in Rel-16 but we don’t have strong position on it.</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594B57" w:rsidRPr="00CE6AC7" w:rsidRDefault="00594B57" w:rsidP="00594B57">
      <w:pPr>
        <w:rPr>
          <w:b/>
          <w:lang w:val="en-US" w:eastAsia="zh-CN"/>
        </w:rPr>
      </w:pPr>
      <w:r w:rsidRPr="00CE6AC7">
        <w:rPr>
          <w:b/>
          <w:lang w:val="en-US" w:eastAsia="zh-CN"/>
        </w:rPr>
        <w:t xml:space="preserve">Observation 1: Introducing scenario 1 </w:t>
      </w:r>
      <w:r>
        <w:rPr>
          <w:b/>
          <w:lang w:val="en-US" w:eastAsia="zh-CN"/>
        </w:rPr>
        <w:t xml:space="preserve">as intra-band concurrent operation </w:t>
      </w:r>
      <w:r w:rsidRPr="00CE6AC7">
        <w:rPr>
          <w:b/>
          <w:lang w:val="en-US" w:eastAsia="zh-CN"/>
        </w:rPr>
        <w:t>is premature at this stage</w:t>
      </w:r>
    </w:p>
    <w:p w:rsidR="00594B57" w:rsidRDefault="00594B57" w:rsidP="00594B57">
      <w:pPr>
        <w:rPr>
          <w:b/>
          <w:lang w:val="en-US" w:eastAsia="zh-CN"/>
        </w:rPr>
      </w:pPr>
      <w:r w:rsidRPr="00CE6AC7">
        <w:rPr>
          <w:b/>
          <w:lang w:val="en-US" w:eastAsia="zh-CN"/>
        </w:rPr>
        <w:t xml:space="preserve">Observation </w:t>
      </w:r>
      <w:r w:rsidRPr="00CE6AC7">
        <w:rPr>
          <w:rFonts w:hint="eastAsia"/>
          <w:b/>
          <w:lang w:val="en-US" w:eastAsia="zh-CN"/>
        </w:rPr>
        <w:t>2</w:t>
      </w:r>
      <w:r w:rsidRPr="00CE6AC7">
        <w:rPr>
          <w:rFonts w:hint="eastAsia"/>
          <w:b/>
          <w:lang w:val="en-US" w:eastAsia="zh-CN"/>
        </w:rPr>
        <w:t>：</w:t>
      </w:r>
      <w:r w:rsidRPr="00CE6AC7">
        <w:rPr>
          <w:b/>
          <w:lang w:val="en-US" w:eastAsia="zh-CN"/>
        </w:rPr>
        <w:t>Scenario 3 is similar to scenario 1 and it is not considered too.</w:t>
      </w:r>
    </w:p>
    <w:p w:rsidR="00594B57" w:rsidRDefault="00594B57" w:rsidP="00594B57">
      <w:pPr>
        <w:rPr>
          <w:b/>
          <w:lang w:val="en-US" w:eastAsia="zh-CN"/>
        </w:rPr>
      </w:pPr>
      <w:r w:rsidRPr="008006DE">
        <w:rPr>
          <w:b/>
          <w:lang w:val="en-US" w:eastAsia="zh-CN"/>
        </w:rPr>
        <w:t xml:space="preserve">Observation </w:t>
      </w:r>
      <w:r>
        <w:rPr>
          <w:b/>
          <w:lang w:val="en-US" w:eastAsia="zh-CN"/>
        </w:rPr>
        <w:t>3: General and V2X RF core requirement apply respectively for UL TX slots and SL operation slots in case TDM intra-band concurrent operation.</w:t>
      </w:r>
    </w:p>
    <w:p w:rsidR="00594B57" w:rsidRPr="002C2022" w:rsidRDefault="00594B57" w:rsidP="00594B57">
      <w:pPr>
        <w:rPr>
          <w:b/>
          <w:lang w:val="en-US" w:eastAsia="zh-CN"/>
        </w:rPr>
      </w:pPr>
      <w:r w:rsidRPr="002C2022">
        <w:rPr>
          <w:rFonts w:hint="eastAsia"/>
          <w:b/>
          <w:lang w:val="en-US" w:eastAsia="zh-CN"/>
        </w:rPr>
        <w:t>O</w:t>
      </w:r>
      <w:r w:rsidRPr="002C2022">
        <w:rPr>
          <w:b/>
          <w:lang w:val="en-US" w:eastAsia="zh-CN"/>
        </w:rPr>
        <w:t xml:space="preserve">bservation </w:t>
      </w:r>
      <w:r>
        <w:rPr>
          <w:b/>
          <w:lang w:val="en-US" w:eastAsia="zh-CN"/>
        </w:rPr>
        <w:t>4</w:t>
      </w:r>
      <w:r w:rsidRPr="002C2022">
        <w:rPr>
          <w:b/>
          <w:lang w:val="en-US" w:eastAsia="zh-CN"/>
        </w:rPr>
        <w:t xml:space="preserve">: TDM intra-band concurrent operation can be introduced </w:t>
      </w:r>
      <w:r>
        <w:rPr>
          <w:b/>
          <w:lang w:val="en-US" w:eastAsia="zh-CN"/>
        </w:rPr>
        <w:t>in Rel-16.</w:t>
      </w:r>
    </w:p>
    <w:p w:rsidR="00DB2AC9" w:rsidRPr="000A4C5A" w:rsidRDefault="00DB2AC9" w:rsidP="00DB2AC9">
      <w:pPr>
        <w:pStyle w:val="1"/>
      </w:pPr>
      <w:r w:rsidRPr="000A4C5A">
        <w:rPr>
          <w:rFonts w:hint="eastAsia"/>
        </w:rPr>
        <w:t>Reference</w:t>
      </w:r>
    </w:p>
    <w:bookmarkEnd w:id="0"/>
    <w:p w:rsidR="00CA6327" w:rsidRDefault="00CA6327" w:rsidP="00CA6327">
      <w:pPr>
        <w:numPr>
          <w:ilvl w:val="0"/>
          <w:numId w:val="2"/>
        </w:numPr>
        <w:rPr>
          <w:lang w:val="en-US" w:eastAsia="zh-CN"/>
        </w:rPr>
      </w:pPr>
      <w:r>
        <w:rPr>
          <w:lang w:val="en-US" w:eastAsia="zh-CN"/>
        </w:rPr>
        <w:t>R4-200</w:t>
      </w:r>
      <w:r w:rsidR="00594B57">
        <w:rPr>
          <w:lang w:val="en-US" w:eastAsia="zh-CN"/>
        </w:rPr>
        <w:t>9166</w:t>
      </w:r>
      <w:r>
        <w:rPr>
          <w:lang w:val="en-US" w:eastAsia="zh-CN"/>
        </w:rPr>
        <w:t xml:space="preserve"> </w:t>
      </w:r>
      <w:r w:rsidR="00594B57" w:rsidRPr="00594B57">
        <w:rPr>
          <w:lang w:eastAsia="zh-CN"/>
        </w:rPr>
        <w:t>WF on remaining issues for NR V2X system parameters</w:t>
      </w:r>
      <w:r w:rsidR="00594B57">
        <w:rPr>
          <w:lang w:eastAsia="zh-CN"/>
        </w:rPr>
        <w:t xml:space="preserve"> </w:t>
      </w:r>
      <w:r w:rsidR="00594B57" w:rsidRPr="00594B57">
        <w:rPr>
          <w:lang w:eastAsia="zh-CN"/>
        </w:rPr>
        <w:t>vivo, LGE, Qualcomm</w:t>
      </w:r>
    </w:p>
    <w:p w:rsidR="00323263" w:rsidRDefault="00594B57" w:rsidP="00CA6327">
      <w:pPr>
        <w:numPr>
          <w:ilvl w:val="0"/>
          <w:numId w:val="2"/>
        </w:numPr>
        <w:rPr>
          <w:lang w:val="en-US" w:eastAsia="zh-CN"/>
        </w:rPr>
      </w:pPr>
      <w:r>
        <w:rPr>
          <w:lang w:val="en-US" w:eastAsia="zh-CN"/>
        </w:rPr>
        <w:t>TS 38.886 v1.0.0</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C50" w:rsidRDefault="00CF3C50" w:rsidP="00DB2AC9">
      <w:pPr>
        <w:spacing w:after="0"/>
      </w:pPr>
      <w:r>
        <w:separator/>
      </w:r>
    </w:p>
  </w:endnote>
  <w:endnote w:type="continuationSeparator" w:id="0">
    <w:p w:rsidR="00CF3C50" w:rsidRDefault="00CF3C50"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C50" w:rsidRDefault="00CF3C50" w:rsidP="00DB2AC9">
      <w:pPr>
        <w:spacing w:after="0"/>
      </w:pPr>
      <w:r>
        <w:separator/>
      </w:r>
    </w:p>
  </w:footnote>
  <w:footnote w:type="continuationSeparator" w:id="0">
    <w:p w:rsidR="00CF3C50" w:rsidRDefault="00CF3C50"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153FF0"/>
    <w:rsid w:val="001E0BF5"/>
    <w:rsid w:val="001F4672"/>
    <w:rsid w:val="00260C91"/>
    <w:rsid w:val="002C2022"/>
    <w:rsid w:val="00323263"/>
    <w:rsid w:val="0052288E"/>
    <w:rsid w:val="00594B57"/>
    <w:rsid w:val="00773B7D"/>
    <w:rsid w:val="008006DE"/>
    <w:rsid w:val="00805BF5"/>
    <w:rsid w:val="00992D9C"/>
    <w:rsid w:val="00A24FEA"/>
    <w:rsid w:val="00A3401F"/>
    <w:rsid w:val="00A46759"/>
    <w:rsid w:val="00C7497C"/>
    <w:rsid w:val="00CA6327"/>
    <w:rsid w:val="00CE6AC7"/>
    <w:rsid w:val="00CF3C50"/>
    <w:rsid w:val="00D03608"/>
    <w:rsid w:val="00DB2AC9"/>
    <w:rsid w:val="00E9533D"/>
    <w:rsid w:val="00F51CE6"/>
    <w:rsid w:val="00F93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24363"/>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2</Pages>
  <Words>626</Words>
  <Characters>3572</Characters>
  <Application>Microsoft Office Word</Application>
  <DocSecurity>0</DocSecurity>
  <Lines>29</Lines>
  <Paragraphs>8</Paragraphs>
  <ScaleCrop>false</ScaleCrop>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6</cp:revision>
  <dcterms:created xsi:type="dcterms:W3CDTF">2020-08-06T01:43:00Z</dcterms:created>
  <dcterms:modified xsi:type="dcterms:W3CDTF">2020-08-07T11:39:00Z</dcterms:modified>
</cp:coreProperties>
</file>